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рисков и моделирование рисковых ситуаций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9A1CFB2" w:rsidR="00A77598" w:rsidRPr="000767EB" w:rsidRDefault="000767E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2773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773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727734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727734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727734">
              <w:rPr>
                <w:rFonts w:ascii="Times New Roman" w:hAnsi="Times New Roman" w:cs="Times New Roman"/>
                <w:sz w:val="20"/>
                <w:szCs w:val="20"/>
              </w:rPr>
              <w:t>, Луценко Михаил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DC88777" w:rsidR="004475DA" w:rsidRPr="000767EB" w:rsidRDefault="000767E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38D593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773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72A872A" w:rsidR="00D75436" w:rsidRDefault="000826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773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8FF1054" w:rsidR="00D75436" w:rsidRDefault="000826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773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B087DD7" w:rsidR="00D75436" w:rsidRDefault="000826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773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BE40945" w:rsidR="00D75436" w:rsidRDefault="000826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773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7E57F8F" w:rsidR="00D75436" w:rsidRDefault="000826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773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43E6976" w:rsidR="00D75436" w:rsidRDefault="000826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773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F956C2B" w:rsidR="00D75436" w:rsidRDefault="000826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773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8B65795" w:rsidR="00D75436" w:rsidRDefault="000826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773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EF2996B" w:rsidR="00D75436" w:rsidRDefault="000826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773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EE5F8BE" w:rsidR="00D75436" w:rsidRDefault="000826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773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AFC54E0" w:rsidR="00D75436" w:rsidRDefault="000826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773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4EA632C" w:rsidR="00D75436" w:rsidRDefault="000826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773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4C89EDE" w:rsidR="00D75436" w:rsidRDefault="000826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773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DBEC34C" w:rsidR="00D75436" w:rsidRDefault="000826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773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9A7123A" w:rsidR="00D75436" w:rsidRDefault="000826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773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CD998A1" w:rsidR="00D75436" w:rsidRDefault="000826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773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9C2C608" w:rsidR="00D75436" w:rsidRDefault="000826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773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0F21A765" w:rsidR="00751095" w:rsidRDefault="00751095" w:rsidP="00727734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E8BAABB" w14:textId="77777777" w:rsidR="00727734" w:rsidRPr="00727734" w:rsidRDefault="00727734" w:rsidP="0072773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</w:tcPr>
          <w:p w14:paraId="7A968A89" w14:textId="293132B6" w:rsidR="00751095" w:rsidRPr="00352B6F" w:rsidRDefault="00990F27" w:rsidP="0072773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систематизированных знаний в области анализа рисков, моделирования рисковых ситуаций, управления рисками; навыков принятия оптимальных решений в условиях неопределенности и риска с использованием экономико-математических методов и моделей.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727734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Теория рисков и моделирование рисковых ситуаций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7"/>
        <w:gridCol w:w="2955"/>
        <w:gridCol w:w="4508"/>
      </w:tblGrid>
      <w:tr w:rsidR="00751095" w:rsidRPr="00727734" w14:paraId="456F168A" w14:textId="77777777" w:rsidTr="00727734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0EC2" w14:textId="77777777" w:rsidR="00751095" w:rsidRPr="007277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2773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E76A" w14:textId="77777777" w:rsidR="00751095" w:rsidRPr="0072773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2773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BD86" w14:textId="77777777" w:rsidR="00751095" w:rsidRPr="0072773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2773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277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27734" w14:paraId="15D0A9B4" w14:textId="77777777" w:rsidTr="00727734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8419" w14:textId="4D32BE1F" w:rsidR="00751095" w:rsidRPr="007277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27734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965C" w14:textId="2EB49A4F" w:rsidR="00751095" w:rsidRPr="007277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7734">
              <w:rPr>
                <w:rFonts w:ascii="Times New Roman" w:hAnsi="Times New Roman" w:cs="Times New Roman"/>
                <w:lang w:bidi="ru-RU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3B1D" w14:textId="61908384" w:rsidR="00751095" w:rsidRPr="007277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7734">
              <w:rPr>
                <w:rFonts w:ascii="Times New Roman" w:hAnsi="Times New Roman" w:cs="Times New Roman"/>
              </w:rPr>
              <w:t xml:space="preserve">Знать: </w:t>
            </w:r>
            <w:r w:rsidR="00316402" w:rsidRPr="00727734">
              <w:rPr>
                <w:rFonts w:ascii="Times New Roman" w:hAnsi="Times New Roman" w:cs="Times New Roman"/>
              </w:rPr>
              <w:t>базовые этические ценности.</w:t>
            </w:r>
            <w:r w:rsidRPr="0072773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277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7734">
              <w:rPr>
                <w:rFonts w:ascii="Times New Roman" w:hAnsi="Times New Roman" w:cs="Times New Roman"/>
              </w:rPr>
              <w:t xml:space="preserve">Уметь: </w:t>
            </w:r>
            <w:r w:rsidR="00FD518F" w:rsidRPr="00727734">
              <w:rPr>
                <w:rFonts w:ascii="Times New Roman" w:hAnsi="Times New Roman" w:cs="Times New Roman"/>
              </w:rPr>
              <w:t>распознать проявления экстремизма, терроризма, коррупции в профессиональной деятельности</w:t>
            </w:r>
            <w:r w:rsidRPr="0072773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2773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2773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27734">
              <w:rPr>
                <w:rFonts w:ascii="Times New Roman" w:hAnsi="Times New Roman" w:cs="Times New Roman"/>
              </w:rPr>
              <w:t>основными методами противодействия всем проявления экстремизма, терроризма и коррупции в профессиональной деятельности</w:t>
            </w:r>
            <w:r w:rsidRPr="0072773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27734" w14:paraId="67D52473" w14:textId="77777777" w:rsidTr="00727734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1707" w14:textId="77777777" w:rsidR="00751095" w:rsidRPr="007277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27734">
              <w:rPr>
                <w:rFonts w:ascii="Times New Roman" w:hAnsi="Times New Roman" w:cs="Times New Roman"/>
              </w:rPr>
              <w:t>ПК-4 - Способен применять современные оптимизационные подходы для разработки и анализа вариантов управленческих, проектных и инвестиционных решений с учетом критериев эффективности, рисков и возможных последствий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26EE" w14:textId="77777777" w:rsidR="00751095" w:rsidRPr="007277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7734">
              <w:rPr>
                <w:rFonts w:ascii="Times New Roman" w:hAnsi="Times New Roman" w:cs="Times New Roman"/>
                <w:lang w:bidi="ru-RU"/>
              </w:rPr>
              <w:t>ПК-4.2 - Выполняет оптимизацию управленческих, проектных и инвестиционных решений с учетом критериев эффективности, рисков и возможных последствий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6BED" w14:textId="77777777" w:rsidR="00751095" w:rsidRPr="007277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7734">
              <w:rPr>
                <w:rFonts w:ascii="Times New Roman" w:hAnsi="Times New Roman" w:cs="Times New Roman"/>
              </w:rPr>
              <w:t xml:space="preserve">Знать: </w:t>
            </w:r>
            <w:r w:rsidR="00316402" w:rsidRPr="00727734">
              <w:rPr>
                <w:rFonts w:ascii="Times New Roman" w:hAnsi="Times New Roman" w:cs="Times New Roman"/>
              </w:rPr>
              <w:t>допустимые управленческие, проектные и инвестиционные решения, а также критерии эффективности и возможные риски.</w:t>
            </w:r>
            <w:r w:rsidRPr="00727734">
              <w:rPr>
                <w:rFonts w:ascii="Times New Roman" w:hAnsi="Times New Roman" w:cs="Times New Roman"/>
              </w:rPr>
              <w:t xml:space="preserve"> </w:t>
            </w:r>
          </w:p>
          <w:p w14:paraId="1BA9396B" w14:textId="77777777" w:rsidR="00751095" w:rsidRPr="007277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7734">
              <w:rPr>
                <w:rFonts w:ascii="Times New Roman" w:hAnsi="Times New Roman" w:cs="Times New Roman"/>
              </w:rPr>
              <w:t xml:space="preserve">Уметь: </w:t>
            </w:r>
            <w:r w:rsidR="00FD518F" w:rsidRPr="00727734">
              <w:rPr>
                <w:rFonts w:ascii="Times New Roman" w:hAnsi="Times New Roman" w:cs="Times New Roman"/>
              </w:rPr>
              <w:t>использовать современные оптимизационные методы при выборе оптимальных управленческих и проектных решений с учетом различных критериев</w:t>
            </w:r>
            <w:r w:rsidRPr="00727734">
              <w:rPr>
                <w:rFonts w:ascii="Times New Roman" w:hAnsi="Times New Roman" w:cs="Times New Roman"/>
              </w:rPr>
              <w:t xml:space="preserve">. </w:t>
            </w:r>
          </w:p>
          <w:p w14:paraId="460C7AF0" w14:textId="77777777" w:rsidR="00751095" w:rsidRPr="0072773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2773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27734">
              <w:rPr>
                <w:rFonts w:ascii="Times New Roman" w:hAnsi="Times New Roman" w:cs="Times New Roman"/>
              </w:rPr>
              <w:t>методами оптимизации, теорией принятия решений и теорией рисков</w:t>
            </w:r>
            <w:r w:rsidRPr="0072773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81412D" w14:textId="77777777" w:rsidR="00727734" w:rsidRDefault="00727734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DC115B" w14:textId="77777777" w:rsidR="00727734" w:rsidRDefault="00727734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519E0D" w14:textId="77777777" w:rsidR="00727734" w:rsidRPr="00727734" w:rsidRDefault="00727734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Риски в экономике. Понятия неопределенности и риска.</w:t>
            </w:r>
          </w:p>
        </w:tc>
        <w:tc>
          <w:tcPr>
            <w:tcW w:w="2543" w:type="pct"/>
            <w:gridSpan w:val="2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Риски в экономике. Понятия неопределенности и риска.</w:t>
            </w:r>
            <w:r w:rsidRPr="00352B6F">
              <w:rPr>
                <w:lang w:bidi="ru-RU"/>
              </w:rPr>
              <w:br/>
              <w:t>Учет неопределенности и риска в принятии управленческих решений.  ЛПР. Интуиция и формализованные процедуры. Определенность и неопределенность.  Понятия неопределенности и риска. Различные типы неопределенностей и характер их влияния на функционирование системы.</w:t>
            </w:r>
          </w:p>
        </w:tc>
        <w:tc>
          <w:tcPr>
            <w:tcW w:w="357" w:type="pct"/>
            <w:gridSpan w:val="2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8E50B85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76E432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Критериальный выбор в условиях риска и неопределённости.</w:t>
            </w:r>
          </w:p>
        </w:tc>
        <w:tc>
          <w:tcPr>
            <w:tcW w:w="2543" w:type="pct"/>
            <w:gridSpan w:val="2"/>
          </w:tcPr>
          <w:p w14:paraId="2B7C14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Критериальный выбор в условиях риска и неопределённости.</w:t>
            </w:r>
            <w:r w:rsidRPr="00352B6F">
              <w:rPr>
                <w:lang w:bidi="ru-RU"/>
              </w:rPr>
              <w:br/>
              <w:t>Принципы последовательного уменьшения неопределенности.  Основные критерии выбора в условиях неопределенности: критерии Вальда, Лапласа, Сэвиджа, Гурвица. Сравнительный анализ критериев и область их применения. Принятие решений в условиях риска. Количественная оценка последствий принятия решений в виде дискретных или непрерывных случайных величин. Критерии выбора оптимальной альтернативы в условиях риска: предельного значения, наиболее вероятного значения, ожидаемого значения, вариабельности, обобщенные. Сравнительный анализ критериев выбора в условиях риска. Многоэтапный выбор в условиях риска. Деревья решений.</w:t>
            </w:r>
          </w:p>
        </w:tc>
        <w:tc>
          <w:tcPr>
            <w:tcW w:w="357" w:type="pct"/>
            <w:gridSpan w:val="2"/>
            <w:vAlign w:val="center"/>
          </w:tcPr>
          <w:p w14:paraId="522356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vAlign w:val="center"/>
          </w:tcPr>
          <w:p w14:paraId="30BDB4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vAlign w:val="center"/>
          </w:tcPr>
          <w:p w14:paraId="78BF7D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654666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C4C9A64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65F7C1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Учет субъективного отношения к риску. Теория ожидаемой полезности.</w:t>
            </w:r>
          </w:p>
        </w:tc>
        <w:tc>
          <w:tcPr>
            <w:tcW w:w="2543" w:type="pct"/>
            <w:gridSpan w:val="2"/>
          </w:tcPr>
          <w:p w14:paraId="6CD9C4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субъективного отношения к риску. Теория ожидаемой полезности.</w:t>
            </w:r>
            <w:r w:rsidRPr="00352B6F">
              <w:rPr>
                <w:lang w:bidi="ru-RU"/>
              </w:rPr>
              <w:br/>
              <w:t>Теория ожидаемой полезности. Функция полезности и ее свойства. Типы отношения к риску и особенности поведения в условиях риска. Премия за риск. Каннеман и критика субъективного подхода к оценке вероятности. Ошибки мышления и некорректность оценки вероятности. Методы преодоления ошибок мышления. Мышление, основанное на данных.</w:t>
            </w:r>
          </w:p>
        </w:tc>
        <w:tc>
          <w:tcPr>
            <w:tcW w:w="357" w:type="pct"/>
            <w:gridSpan w:val="2"/>
            <w:vAlign w:val="center"/>
          </w:tcPr>
          <w:p w14:paraId="7945E8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vAlign w:val="center"/>
          </w:tcPr>
          <w:p w14:paraId="0A01C1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vAlign w:val="center"/>
          </w:tcPr>
          <w:p w14:paraId="0064F1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3BA38C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E57C617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71CB9E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и инструменты качественного и количественного анализа рисков.</w:t>
            </w:r>
          </w:p>
        </w:tc>
        <w:tc>
          <w:tcPr>
            <w:tcW w:w="2543" w:type="pct"/>
            <w:gridSpan w:val="2"/>
          </w:tcPr>
          <w:p w14:paraId="2B8F93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субъективного отношения к риску. Теория ожидаемой полезности.</w:t>
            </w:r>
            <w:r w:rsidRPr="00352B6F">
              <w:rPr>
                <w:lang w:bidi="ru-RU"/>
              </w:rPr>
              <w:br/>
              <w:t>Теория ожидаемой полезности. Функция полезности и ее свойства. Типы отношения к риску и особенности поведения в условиях риска. Премия за риск. Каннеман и критика субъективного подхода к оценке вероятности. Ошибки мышления и некорректность оценки вероятности. Методы преодоления ошибок мышления. Мышление, основанное на данных.</w:t>
            </w:r>
          </w:p>
        </w:tc>
        <w:tc>
          <w:tcPr>
            <w:tcW w:w="357" w:type="pct"/>
            <w:gridSpan w:val="2"/>
            <w:vAlign w:val="center"/>
          </w:tcPr>
          <w:p w14:paraId="3E09E4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vAlign w:val="center"/>
          </w:tcPr>
          <w:p w14:paraId="1C8BBB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vAlign w:val="center"/>
          </w:tcPr>
          <w:p w14:paraId="37AF86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63D71B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71D9BFD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18573C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Моделирование рисковых ситуаций.</w:t>
            </w:r>
          </w:p>
        </w:tc>
        <w:tc>
          <w:tcPr>
            <w:tcW w:w="2543" w:type="pct"/>
            <w:gridSpan w:val="2"/>
          </w:tcPr>
          <w:p w14:paraId="65B97D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Моделирование рисковых ситуаций. Модели оценки инвестиционных рисков. Портфельный подход к системе управления рисками. Модель оценки капитальных активов (САРМ). Управление рыночным риском портфеля производных финансовых инструментов. Концепция стоимостной меры риска (VaR).</w:t>
            </w:r>
            <w:r w:rsidRPr="00352B6F">
              <w:rPr>
                <w:lang w:bidi="ru-RU"/>
              </w:rPr>
              <w:br/>
              <w:t>Модели оценки кредитного риска: эконометрическая, нейросетевая, оптимизационная. Подходы к оценке кредитного риска: «внутренний» и «рыночный». Модели оценки кредитоспособности на основе бухгалтерских данных: модель Альтмана Z-score, модель ZETA.</w:t>
            </w:r>
          </w:p>
        </w:tc>
        <w:tc>
          <w:tcPr>
            <w:tcW w:w="357" w:type="pct"/>
            <w:gridSpan w:val="2"/>
            <w:vAlign w:val="center"/>
          </w:tcPr>
          <w:p w14:paraId="181CFA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vAlign w:val="center"/>
          </w:tcPr>
          <w:p w14:paraId="2ACC24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vAlign w:val="center"/>
          </w:tcPr>
          <w:p w14:paraId="74AF03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7937A7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C1450DF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75F632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Информационное  обеспечение анализа рисков и процесса принятия решений в условиях риска.</w:t>
            </w:r>
          </w:p>
        </w:tc>
        <w:tc>
          <w:tcPr>
            <w:tcW w:w="2543" w:type="pct"/>
            <w:gridSpan w:val="2"/>
          </w:tcPr>
          <w:p w14:paraId="00EBAB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Информационное обеспечение анализа рисков и процесса принятия решений в условиях риска</w:t>
            </w:r>
            <w:r w:rsidRPr="00352B6F">
              <w:rPr>
                <w:lang w:bidi="ru-RU"/>
              </w:rPr>
              <w:br/>
              <w:t>Источники данных. Программные системы для анализа рисков. Сравнительный анализ.</w:t>
            </w:r>
          </w:p>
        </w:tc>
        <w:tc>
          <w:tcPr>
            <w:tcW w:w="357" w:type="pct"/>
            <w:gridSpan w:val="2"/>
            <w:vAlign w:val="center"/>
          </w:tcPr>
          <w:p w14:paraId="6C19EB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vAlign w:val="center"/>
          </w:tcPr>
          <w:p w14:paraId="397C8E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7A6491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7F243B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5"/>
        <w:gridCol w:w="31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vAlign w:val="center"/>
          </w:tcPr>
          <w:p w14:paraId="31B092F5" w14:textId="4DED7782" w:rsidR="00262CF0" w:rsidRPr="007277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7734">
              <w:rPr>
                <w:rFonts w:ascii="Times New Roman" w:hAnsi="Times New Roman" w:cs="Times New Roman"/>
                <w:sz w:val="24"/>
                <w:szCs w:val="24"/>
              </w:rPr>
              <w:t>Касьяненко, Т. Г.  Анализ и оценка рисков в бизнесе</w:t>
            </w:r>
            <w:proofErr w:type="gramStart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Т. Г. Касьяненко, Г. А. Маховикова. — 2-е изд., </w:t>
            </w:r>
            <w:proofErr w:type="spellStart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>, 2022. — 381 с.</w:t>
            </w:r>
          </w:p>
        </w:tc>
        <w:tc>
          <w:tcPr>
            <w:tcW w:w="920" w:type="pct"/>
            <w:vAlign w:val="center"/>
            <w:hideMark/>
          </w:tcPr>
          <w:p w14:paraId="25965B29" w14:textId="0CF2FFC1" w:rsidR="00262CF0" w:rsidRPr="007E6725" w:rsidRDefault="000826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https://urait.ru/bcode/489052</w:t>
              </w:r>
            </w:hyperlink>
          </w:p>
        </w:tc>
      </w:tr>
      <w:tr w:rsidR="00262CF0" w:rsidRPr="007E6725" w14:paraId="0FEEA50A" w14:textId="77777777" w:rsidTr="00E4641F">
        <w:trPr>
          <w:trHeight w:val="354"/>
        </w:trPr>
        <w:tc>
          <w:tcPr>
            <w:tcW w:w="4080" w:type="pct"/>
            <w:vAlign w:val="center"/>
          </w:tcPr>
          <w:p w14:paraId="226F500F" w14:textId="77777777" w:rsidR="00262CF0" w:rsidRPr="007277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7734">
              <w:rPr>
                <w:rFonts w:ascii="Times New Roman" w:hAnsi="Times New Roman" w:cs="Times New Roman"/>
                <w:sz w:val="24"/>
                <w:szCs w:val="24"/>
              </w:rPr>
              <w:t>Воронцовский, А. В.  Управление рисками</w:t>
            </w:r>
            <w:proofErr w:type="gramStart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В. Воронцовский. — 2-е изд. — Москва : Издательство </w:t>
            </w:r>
            <w:proofErr w:type="spellStart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>, 2025. — 485 с.</w:t>
            </w:r>
          </w:p>
        </w:tc>
        <w:tc>
          <w:tcPr>
            <w:tcW w:w="920" w:type="pct"/>
            <w:vAlign w:val="center"/>
            <w:hideMark/>
          </w:tcPr>
          <w:p w14:paraId="235F0925" w14:textId="77777777" w:rsidR="00262CF0" w:rsidRPr="00727734" w:rsidRDefault="000826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https://urait.ru/viewer/upravlenie-riskami-560651</w:t>
              </w:r>
            </w:hyperlink>
          </w:p>
        </w:tc>
      </w:tr>
      <w:tr w:rsidR="00262CF0" w:rsidRPr="000767EB" w14:paraId="6D58E0CF" w14:textId="77777777" w:rsidTr="00E4641F">
        <w:trPr>
          <w:trHeight w:val="354"/>
        </w:trPr>
        <w:tc>
          <w:tcPr>
            <w:tcW w:w="4080" w:type="pct"/>
            <w:vAlign w:val="center"/>
          </w:tcPr>
          <w:p w14:paraId="513E26E1" w14:textId="77777777" w:rsidR="00262CF0" w:rsidRPr="007277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7734">
              <w:rPr>
                <w:rFonts w:ascii="Times New Roman" w:hAnsi="Times New Roman" w:cs="Times New Roman"/>
                <w:sz w:val="24"/>
                <w:szCs w:val="24"/>
              </w:rPr>
              <w:t>Белов, П. Г.  Системный анализ и программно-целевой менеджмент рисков</w:t>
            </w:r>
            <w:proofErr w:type="gramStart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П. Г. Белов. — Москва</w:t>
            </w:r>
            <w:proofErr w:type="gramStart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>, 2025. — 289 с.</w:t>
            </w:r>
          </w:p>
        </w:tc>
        <w:tc>
          <w:tcPr>
            <w:tcW w:w="920" w:type="pct"/>
            <w:vAlign w:val="center"/>
            <w:hideMark/>
          </w:tcPr>
          <w:p w14:paraId="5866730F" w14:textId="77777777" w:rsidR="00262CF0" w:rsidRPr="007E6725" w:rsidRDefault="000826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727734">
                <w:rPr>
                  <w:color w:val="00008B"/>
                  <w:u w:val="single"/>
                  <w:lang w:val="en-US"/>
                </w:rPr>
                <w:t>https://urait.ru/viewer/sistem ... evoy-menedzhment-riskov-563680</w:t>
              </w:r>
            </w:hyperlink>
          </w:p>
        </w:tc>
      </w:tr>
      <w:tr w:rsidR="00262CF0" w:rsidRPr="007E6725" w14:paraId="543A7E56" w14:textId="77777777" w:rsidTr="00E4641F">
        <w:trPr>
          <w:trHeight w:val="354"/>
        </w:trPr>
        <w:tc>
          <w:tcPr>
            <w:tcW w:w="4080" w:type="pct"/>
            <w:vAlign w:val="center"/>
          </w:tcPr>
          <w:p w14:paraId="05B567A7" w14:textId="77777777" w:rsidR="00262CF0" w:rsidRPr="007277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>Рягин</w:t>
            </w:r>
            <w:proofErr w:type="spellEnd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 xml:space="preserve">, Ю. И.  </w:t>
            </w:r>
            <w:proofErr w:type="spellStart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>Рискология</w:t>
            </w:r>
            <w:proofErr w:type="spellEnd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 xml:space="preserve"> в 2 ч. Часть 1</w:t>
            </w:r>
            <w:proofErr w:type="gramStart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Ю. И. </w:t>
            </w:r>
            <w:proofErr w:type="spellStart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>Рягин</w:t>
            </w:r>
            <w:proofErr w:type="spellEnd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>, 2022. — 255 с.</w:t>
            </w:r>
          </w:p>
        </w:tc>
        <w:tc>
          <w:tcPr>
            <w:tcW w:w="920" w:type="pct"/>
            <w:vAlign w:val="center"/>
            <w:hideMark/>
          </w:tcPr>
          <w:p w14:paraId="1B562E4A" w14:textId="77777777" w:rsidR="00262CF0" w:rsidRPr="007E6725" w:rsidRDefault="000826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https://urait.ru/bcode/492118</w:t>
              </w:r>
            </w:hyperlink>
          </w:p>
        </w:tc>
      </w:tr>
      <w:tr w:rsidR="00262CF0" w:rsidRPr="007E6725" w14:paraId="726127EB" w14:textId="77777777" w:rsidTr="00E4641F">
        <w:trPr>
          <w:trHeight w:val="354"/>
        </w:trPr>
        <w:tc>
          <w:tcPr>
            <w:tcW w:w="4080" w:type="pct"/>
            <w:vAlign w:val="center"/>
          </w:tcPr>
          <w:p w14:paraId="630D7E95" w14:textId="77777777" w:rsidR="00262CF0" w:rsidRPr="007277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>Рягин</w:t>
            </w:r>
            <w:proofErr w:type="spellEnd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 xml:space="preserve">, Ю. И.  </w:t>
            </w:r>
            <w:proofErr w:type="spellStart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>Рискология</w:t>
            </w:r>
            <w:proofErr w:type="spellEnd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 xml:space="preserve"> в 2 ч. Часть 2</w:t>
            </w:r>
            <w:proofErr w:type="gramStart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Ю. И. </w:t>
            </w:r>
            <w:proofErr w:type="spellStart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>Рягин</w:t>
            </w:r>
            <w:proofErr w:type="spellEnd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27734">
              <w:rPr>
                <w:rFonts w:ascii="Times New Roman" w:hAnsi="Times New Roman" w:cs="Times New Roman"/>
                <w:sz w:val="24"/>
                <w:szCs w:val="24"/>
              </w:rPr>
              <w:t>, 2022. — 275 с.</w:t>
            </w:r>
          </w:p>
        </w:tc>
        <w:tc>
          <w:tcPr>
            <w:tcW w:w="920" w:type="pct"/>
            <w:vAlign w:val="center"/>
            <w:hideMark/>
          </w:tcPr>
          <w:p w14:paraId="17BE1610" w14:textId="77777777" w:rsidR="00262CF0" w:rsidRPr="007E6725" w:rsidRDefault="000826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https://urait.ru/bcode/492120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5874BB4" w14:textId="77777777" w:rsidTr="007B550D">
        <w:tc>
          <w:tcPr>
            <w:tcW w:w="9345" w:type="dxa"/>
          </w:tcPr>
          <w:p w14:paraId="144566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FB1DC07" w14:textId="77777777" w:rsidTr="007B550D">
        <w:tc>
          <w:tcPr>
            <w:tcW w:w="9345" w:type="dxa"/>
          </w:tcPr>
          <w:p w14:paraId="72700D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7ADF0A3" w14:textId="77777777" w:rsidTr="007B550D">
        <w:tc>
          <w:tcPr>
            <w:tcW w:w="9345" w:type="dxa"/>
          </w:tcPr>
          <w:p w14:paraId="7552E1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B567148" w14:textId="77777777" w:rsidTr="007B550D">
        <w:tc>
          <w:tcPr>
            <w:tcW w:w="9345" w:type="dxa"/>
          </w:tcPr>
          <w:p w14:paraId="36F54B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8265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27734" w14:paraId="53424330" w14:textId="77777777" w:rsidTr="008416EB">
        <w:tc>
          <w:tcPr>
            <w:tcW w:w="7797" w:type="dxa"/>
          </w:tcPr>
          <w:p w14:paraId="2986F8BC" w14:textId="77777777" w:rsidR="002C735C" w:rsidRPr="0072773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773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</w:tcPr>
          <w:p w14:paraId="3A00FEF8" w14:textId="77777777" w:rsidR="002C735C" w:rsidRPr="0072773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773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27734" w14:paraId="3B643305" w14:textId="77777777" w:rsidTr="008416EB">
        <w:tc>
          <w:tcPr>
            <w:tcW w:w="7797" w:type="dxa"/>
          </w:tcPr>
          <w:p w14:paraId="30187323" w14:textId="51649087" w:rsidR="002C735C" w:rsidRPr="007277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7734">
              <w:rPr>
                <w:sz w:val="22"/>
                <w:szCs w:val="22"/>
              </w:rPr>
              <w:t xml:space="preserve">Ауд. 3012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773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27734">
              <w:rPr>
                <w:sz w:val="22"/>
                <w:szCs w:val="22"/>
              </w:rPr>
              <w:t xml:space="preserve">  мебель и оборудование: Учебная мебель на 74 посадочных мест,  рабочее место преподавателя, доска меловая (3-х секционная) - 1 шт., кафедра - 1 шт., стул - 2 шт. Переносной мультимедийный комплект: Ноутбук </w:t>
            </w:r>
            <w:r w:rsidRPr="00727734">
              <w:rPr>
                <w:sz w:val="22"/>
                <w:szCs w:val="22"/>
                <w:lang w:val="en-US"/>
              </w:rPr>
              <w:t>HP</w:t>
            </w:r>
            <w:r w:rsidRPr="00727734">
              <w:rPr>
                <w:sz w:val="22"/>
                <w:szCs w:val="22"/>
              </w:rPr>
              <w:t xml:space="preserve"> 250 </w:t>
            </w:r>
            <w:r w:rsidRPr="00727734">
              <w:rPr>
                <w:sz w:val="22"/>
                <w:szCs w:val="22"/>
                <w:lang w:val="en-US"/>
              </w:rPr>
              <w:t>G</w:t>
            </w:r>
            <w:r w:rsidRPr="00727734">
              <w:rPr>
                <w:sz w:val="22"/>
                <w:szCs w:val="22"/>
              </w:rPr>
              <w:t>6 1</w:t>
            </w:r>
            <w:r w:rsidRPr="00727734">
              <w:rPr>
                <w:sz w:val="22"/>
                <w:szCs w:val="22"/>
                <w:lang w:val="en-US"/>
              </w:rPr>
              <w:t>WY</w:t>
            </w:r>
            <w:r w:rsidRPr="00727734">
              <w:rPr>
                <w:sz w:val="22"/>
                <w:szCs w:val="22"/>
              </w:rPr>
              <w:t>58</w:t>
            </w:r>
            <w:r w:rsidRPr="00727734">
              <w:rPr>
                <w:sz w:val="22"/>
                <w:szCs w:val="22"/>
                <w:lang w:val="en-US"/>
              </w:rPr>
              <w:t>EA</w:t>
            </w:r>
            <w:r w:rsidRPr="00727734">
              <w:rPr>
                <w:sz w:val="22"/>
                <w:szCs w:val="22"/>
              </w:rPr>
              <w:t xml:space="preserve">, Мультимедийный проектор </w:t>
            </w:r>
            <w:r w:rsidRPr="00727734">
              <w:rPr>
                <w:sz w:val="22"/>
                <w:szCs w:val="22"/>
                <w:lang w:val="en-US"/>
              </w:rPr>
              <w:t>LG</w:t>
            </w:r>
            <w:r w:rsidRPr="00727734">
              <w:rPr>
                <w:sz w:val="22"/>
                <w:szCs w:val="22"/>
              </w:rPr>
              <w:t xml:space="preserve"> </w:t>
            </w:r>
            <w:r w:rsidRPr="00727734">
              <w:rPr>
                <w:sz w:val="22"/>
                <w:szCs w:val="22"/>
                <w:lang w:val="en-US"/>
              </w:rPr>
              <w:t>PF</w:t>
            </w:r>
            <w:r w:rsidRPr="00727734">
              <w:rPr>
                <w:sz w:val="22"/>
                <w:szCs w:val="22"/>
              </w:rPr>
              <w:t>1500</w:t>
            </w:r>
            <w:r w:rsidRPr="00727734">
              <w:rPr>
                <w:sz w:val="22"/>
                <w:szCs w:val="22"/>
                <w:lang w:val="en-US"/>
              </w:rPr>
              <w:t>G</w:t>
            </w:r>
            <w:r w:rsidRPr="0072773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3505D25E" w14:textId="5D1F0636" w:rsidR="002C735C" w:rsidRPr="007277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77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27734" w14:paraId="5B78B381" w14:textId="77777777" w:rsidTr="008416EB">
        <w:tc>
          <w:tcPr>
            <w:tcW w:w="7797" w:type="dxa"/>
          </w:tcPr>
          <w:p w14:paraId="3E44CCB8" w14:textId="77777777" w:rsidR="002C735C" w:rsidRPr="007277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7734">
              <w:rPr>
                <w:sz w:val="22"/>
                <w:szCs w:val="22"/>
              </w:rPr>
              <w:t xml:space="preserve">Ауд. 3020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773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2773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шт., кафедра - 1 шт., стол - 3 шт., стол - 1 шт., стол - 1 шт., стул - 9 шт., встроенные шкафы - 5 шт., витрина застекленная - 1 шт., Компьютер </w:t>
            </w:r>
            <w:r w:rsidRPr="00727734">
              <w:rPr>
                <w:sz w:val="22"/>
                <w:szCs w:val="22"/>
                <w:lang w:val="en-US"/>
              </w:rPr>
              <w:t>Intel</w:t>
            </w:r>
            <w:r w:rsidRPr="00727734">
              <w:rPr>
                <w:sz w:val="22"/>
                <w:szCs w:val="22"/>
              </w:rPr>
              <w:t xml:space="preserve"> </w:t>
            </w:r>
            <w:proofErr w:type="spellStart"/>
            <w:r w:rsidRPr="007277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27734">
              <w:rPr>
                <w:sz w:val="22"/>
                <w:szCs w:val="22"/>
              </w:rPr>
              <w:t xml:space="preserve">3-2100 2.4 </w:t>
            </w:r>
            <w:proofErr w:type="spellStart"/>
            <w:r w:rsidRPr="0072773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27734">
              <w:rPr>
                <w:sz w:val="22"/>
                <w:szCs w:val="22"/>
              </w:rPr>
              <w:t>/500/4/</w:t>
            </w:r>
            <w:r w:rsidRPr="00727734">
              <w:rPr>
                <w:sz w:val="22"/>
                <w:szCs w:val="22"/>
                <w:lang w:val="en-US"/>
              </w:rPr>
              <w:t>Acer</w:t>
            </w:r>
            <w:r w:rsidRPr="00727734">
              <w:rPr>
                <w:sz w:val="22"/>
                <w:szCs w:val="22"/>
              </w:rPr>
              <w:t xml:space="preserve"> </w:t>
            </w:r>
            <w:r w:rsidRPr="00727734">
              <w:rPr>
                <w:sz w:val="22"/>
                <w:szCs w:val="22"/>
                <w:lang w:val="en-US"/>
              </w:rPr>
              <w:t>V</w:t>
            </w:r>
            <w:r w:rsidRPr="00727734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72773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27734">
              <w:rPr>
                <w:sz w:val="22"/>
                <w:szCs w:val="22"/>
              </w:rPr>
              <w:t xml:space="preserve"> </w:t>
            </w:r>
            <w:r w:rsidRPr="00727734">
              <w:rPr>
                <w:sz w:val="22"/>
                <w:szCs w:val="22"/>
                <w:lang w:val="en-US"/>
              </w:rPr>
              <w:t>EX</w:t>
            </w:r>
            <w:r w:rsidRPr="00727734">
              <w:rPr>
                <w:sz w:val="22"/>
                <w:szCs w:val="22"/>
              </w:rPr>
              <w:t xml:space="preserve">-632 - 1 шт., Точка беспроводного доступа </w:t>
            </w:r>
            <w:r w:rsidRPr="00727734">
              <w:rPr>
                <w:sz w:val="22"/>
                <w:szCs w:val="22"/>
                <w:lang w:val="en-US"/>
              </w:rPr>
              <w:t>Wi</w:t>
            </w:r>
            <w:r w:rsidRPr="00727734">
              <w:rPr>
                <w:sz w:val="22"/>
                <w:szCs w:val="22"/>
              </w:rPr>
              <w:t>-</w:t>
            </w:r>
            <w:r w:rsidRPr="00727734">
              <w:rPr>
                <w:sz w:val="22"/>
                <w:szCs w:val="22"/>
                <w:lang w:val="en-US"/>
              </w:rPr>
              <w:t>Fi</w:t>
            </w:r>
            <w:r w:rsidRPr="00727734">
              <w:rPr>
                <w:sz w:val="22"/>
                <w:szCs w:val="22"/>
              </w:rPr>
              <w:t xml:space="preserve"> Тип1 </w:t>
            </w:r>
            <w:r w:rsidRPr="00727734">
              <w:rPr>
                <w:sz w:val="22"/>
                <w:szCs w:val="22"/>
                <w:lang w:val="en-US"/>
              </w:rPr>
              <w:t>UBIQUITI</w:t>
            </w:r>
            <w:r w:rsidRPr="00727734">
              <w:rPr>
                <w:sz w:val="22"/>
                <w:szCs w:val="22"/>
              </w:rPr>
              <w:t xml:space="preserve"> </w:t>
            </w:r>
            <w:r w:rsidRPr="00727734">
              <w:rPr>
                <w:sz w:val="22"/>
                <w:szCs w:val="22"/>
                <w:lang w:val="en-US"/>
              </w:rPr>
              <w:t>UAP</w:t>
            </w:r>
            <w:r w:rsidRPr="00727734">
              <w:rPr>
                <w:sz w:val="22"/>
                <w:szCs w:val="22"/>
              </w:rPr>
              <w:t>-</w:t>
            </w:r>
            <w:r w:rsidRPr="00727734">
              <w:rPr>
                <w:sz w:val="22"/>
                <w:szCs w:val="22"/>
                <w:lang w:val="en-US"/>
              </w:rPr>
              <w:t>AC</w:t>
            </w:r>
            <w:r w:rsidRPr="00727734">
              <w:rPr>
                <w:sz w:val="22"/>
                <w:szCs w:val="22"/>
              </w:rPr>
              <w:t>-</w:t>
            </w:r>
            <w:r w:rsidRPr="00727734">
              <w:rPr>
                <w:sz w:val="22"/>
                <w:szCs w:val="22"/>
                <w:lang w:val="en-US"/>
              </w:rPr>
              <w:t>PRO</w:t>
            </w:r>
            <w:r w:rsidRPr="00727734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72773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27734">
              <w:rPr>
                <w:sz w:val="22"/>
                <w:szCs w:val="22"/>
              </w:rPr>
              <w:t xml:space="preserve"> </w:t>
            </w:r>
            <w:r w:rsidRPr="00727734">
              <w:rPr>
                <w:sz w:val="22"/>
                <w:szCs w:val="22"/>
                <w:lang w:val="en-US"/>
              </w:rPr>
              <w:t>Switch</w:t>
            </w:r>
            <w:r w:rsidRPr="00727734">
              <w:rPr>
                <w:sz w:val="22"/>
                <w:szCs w:val="22"/>
              </w:rPr>
              <w:t xml:space="preserve"> 2626 - 1 шт., Коммутатор локальной вычислительной сети (24 порта) </w:t>
            </w:r>
            <w:r w:rsidRPr="00727734">
              <w:rPr>
                <w:sz w:val="22"/>
                <w:szCs w:val="22"/>
                <w:lang w:val="en-US"/>
              </w:rPr>
              <w:t>Cisco</w:t>
            </w:r>
            <w:r w:rsidRPr="00727734">
              <w:rPr>
                <w:sz w:val="22"/>
                <w:szCs w:val="22"/>
              </w:rPr>
              <w:t xml:space="preserve"> </w:t>
            </w:r>
            <w:r w:rsidRPr="00727734">
              <w:rPr>
                <w:sz w:val="22"/>
                <w:szCs w:val="22"/>
                <w:lang w:val="en-US"/>
              </w:rPr>
              <w:t>WS</w:t>
            </w:r>
            <w:r w:rsidRPr="00727734">
              <w:rPr>
                <w:sz w:val="22"/>
                <w:szCs w:val="22"/>
              </w:rPr>
              <w:t>-</w:t>
            </w:r>
            <w:r w:rsidRPr="00727734">
              <w:rPr>
                <w:sz w:val="22"/>
                <w:szCs w:val="22"/>
                <w:lang w:val="en-US"/>
              </w:rPr>
              <w:t>C</w:t>
            </w:r>
            <w:r w:rsidRPr="00727734">
              <w:rPr>
                <w:sz w:val="22"/>
                <w:szCs w:val="22"/>
              </w:rPr>
              <w:t>2960+24</w:t>
            </w:r>
            <w:r w:rsidRPr="00727734">
              <w:rPr>
                <w:sz w:val="22"/>
                <w:szCs w:val="22"/>
                <w:lang w:val="en-US"/>
              </w:rPr>
              <w:t>PC</w:t>
            </w:r>
            <w:r w:rsidRPr="00727734">
              <w:rPr>
                <w:sz w:val="22"/>
                <w:szCs w:val="22"/>
              </w:rPr>
              <w:t>-</w:t>
            </w:r>
            <w:r w:rsidRPr="00727734">
              <w:rPr>
                <w:sz w:val="22"/>
                <w:szCs w:val="22"/>
                <w:lang w:val="en-US"/>
              </w:rPr>
              <w:t>L</w:t>
            </w:r>
            <w:r w:rsidRPr="00727734">
              <w:rPr>
                <w:sz w:val="22"/>
                <w:szCs w:val="22"/>
              </w:rPr>
              <w:t xml:space="preserve"> - 1 шт., Модуль </w:t>
            </w:r>
            <w:r w:rsidRPr="00727734">
              <w:rPr>
                <w:sz w:val="22"/>
                <w:szCs w:val="22"/>
                <w:lang w:val="en-US"/>
              </w:rPr>
              <w:t>Cisco</w:t>
            </w:r>
            <w:r w:rsidRPr="0072773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706E8888" w14:textId="77777777" w:rsidR="002C735C" w:rsidRPr="007277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77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27734" w14:paraId="2BAE9FD5" w14:textId="77777777" w:rsidTr="008416EB">
        <w:tc>
          <w:tcPr>
            <w:tcW w:w="7797" w:type="dxa"/>
          </w:tcPr>
          <w:p w14:paraId="408B3D7F" w14:textId="77777777" w:rsidR="002C735C" w:rsidRPr="007277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7734">
              <w:rPr>
                <w:sz w:val="22"/>
                <w:szCs w:val="22"/>
              </w:rPr>
              <w:t xml:space="preserve">Ауд. 3039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773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27734">
              <w:rPr>
                <w:sz w:val="22"/>
                <w:szCs w:val="22"/>
              </w:rPr>
              <w:t xml:space="preserve">  мебель и оборудование: Учебная мебель на 30 посадочных мест (столов 15шт., стульев 30шт.), рабочее место преподавателя, доска меловая (3-х секционная) 1 шт., стул 2шт., вешалка стойка 1шт. Переносной мультимедийный комплект: Ноутбук </w:t>
            </w:r>
            <w:r w:rsidRPr="00727734">
              <w:rPr>
                <w:sz w:val="22"/>
                <w:szCs w:val="22"/>
                <w:lang w:val="en-US"/>
              </w:rPr>
              <w:t>HP</w:t>
            </w:r>
            <w:r w:rsidRPr="00727734">
              <w:rPr>
                <w:sz w:val="22"/>
                <w:szCs w:val="22"/>
              </w:rPr>
              <w:t xml:space="preserve"> 250 </w:t>
            </w:r>
            <w:r w:rsidRPr="00727734">
              <w:rPr>
                <w:sz w:val="22"/>
                <w:szCs w:val="22"/>
                <w:lang w:val="en-US"/>
              </w:rPr>
              <w:t>G</w:t>
            </w:r>
            <w:r w:rsidRPr="00727734">
              <w:rPr>
                <w:sz w:val="22"/>
                <w:szCs w:val="22"/>
              </w:rPr>
              <w:t>6 1</w:t>
            </w:r>
            <w:r w:rsidRPr="00727734">
              <w:rPr>
                <w:sz w:val="22"/>
                <w:szCs w:val="22"/>
                <w:lang w:val="en-US"/>
              </w:rPr>
              <w:t>WY</w:t>
            </w:r>
            <w:r w:rsidRPr="00727734">
              <w:rPr>
                <w:sz w:val="22"/>
                <w:szCs w:val="22"/>
              </w:rPr>
              <w:t>58</w:t>
            </w:r>
            <w:r w:rsidRPr="00727734">
              <w:rPr>
                <w:sz w:val="22"/>
                <w:szCs w:val="22"/>
                <w:lang w:val="en-US"/>
              </w:rPr>
              <w:t>EA</w:t>
            </w:r>
            <w:r w:rsidRPr="00727734">
              <w:rPr>
                <w:sz w:val="22"/>
                <w:szCs w:val="22"/>
              </w:rPr>
              <w:t xml:space="preserve">, Мультимедийный проектор </w:t>
            </w:r>
            <w:r w:rsidRPr="00727734">
              <w:rPr>
                <w:sz w:val="22"/>
                <w:szCs w:val="22"/>
                <w:lang w:val="en-US"/>
              </w:rPr>
              <w:t>LG</w:t>
            </w:r>
            <w:r w:rsidRPr="00727734">
              <w:rPr>
                <w:sz w:val="22"/>
                <w:szCs w:val="22"/>
              </w:rPr>
              <w:t xml:space="preserve"> </w:t>
            </w:r>
            <w:r w:rsidRPr="00727734">
              <w:rPr>
                <w:sz w:val="22"/>
                <w:szCs w:val="22"/>
                <w:lang w:val="en-US"/>
              </w:rPr>
              <w:t>PF</w:t>
            </w:r>
            <w:r w:rsidRPr="00727734">
              <w:rPr>
                <w:sz w:val="22"/>
                <w:szCs w:val="22"/>
              </w:rPr>
              <w:t>1500</w:t>
            </w:r>
            <w:r w:rsidRPr="00727734">
              <w:rPr>
                <w:sz w:val="22"/>
                <w:szCs w:val="22"/>
                <w:lang w:val="en-US"/>
              </w:rPr>
              <w:t>G</w:t>
            </w:r>
            <w:r w:rsidRPr="0072773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38C2FE9D" w14:textId="77777777" w:rsidR="002C735C" w:rsidRPr="007277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77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27734" w14:paraId="77900AE9" w14:textId="77777777" w:rsidTr="008416EB">
        <w:tc>
          <w:tcPr>
            <w:tcW w:w="7797" w:type="dxa"/>
          </w:tcPr>
          <w:p w14:paraId="65367D34" w14:textId="77777777" w:rsidR="002C735C" w:rsidRPr="007277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7734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2773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2773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72773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27734">
              <w:rPr>
                <w:sz w:val="22"/>
                <w:szCs w:val="22"/>
              </w:rPr>
              <w:t xml:space="preserve"> </w:t>
            </w:r>
            <w:r w:rsidRPr="00727734">
              <w:rPr>
                <w:sz w:val="22"/>
                <w:szCs w:val="22"/>
                <w:lang w:val="en-US"/>
              </w:rPr>
              <w:t>x</w:t>
            </w:r>
            <w:r w:rsidRPr="00727734">
              <w:rPr>
                <w:sz w:val="22"/>
                <w:szCs w:val="22"/>
              </w:rPr>
              <w:t xml:space="preserve">2 </w:t>
            </w:r>
            <w:r w:rsidRPr="00727734">
              <w:rPr>
                <w:sz w:val="22"/>
                <w:szCs w:val="22"/>
                <w:lang w:val="en-US"/>
              </w:rPr>
              <w:t>g</w:t>
            </w:r>
            <w:r w:rsidRPr="00727734">
              <w:rPr>
                <w:sz w:val="22"/>
                <w:szCs w:val="22"/>
              </w:rPr>
              <w:t>3250 /8</w:t>
            </w:r>
            <w:r w:rsidRPr="00727734">
              <w:rPr>
                <w:sz w:val="22"/>
                <w:szCs w:val="22"/>
                <w:lang w:val="en-US"/>
              </w:rPr>
              <w:t>Gb</w:t>
            </w:r>
            <w:r w:rsidRPr="00727734">
              <w:rPr>
                <w:sz w:val="22"/>
                <w:szCs w:val="22"/>
              </w:rPr>
              <w:t>/500</w:t>
            </w:r>
            <w:proofErr w:type="spellStart"/>
            <w:r w:rsidRPr="0072773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27734">
              <w:rPr>
                <w:sz w:val="22"/>
                <w:szCs w:val="22"/>
              </w:rPr>
              <w:t xml:space="preserve">/ </w:t>
            </w:r>
            <w:proofErr w:type="spellStart"/>
            <w:r w:rsidRPr="0072773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27734">
              <w:rPr>
                <w:sz w:val="22"/>
                <w:szCs w:val="22"/>
              </w:rPr>
              <w:t xml:space="preserve"> 21.5') - 1 шт., Компьютер </w:t>
            </w:r>
            <w:r w:rsidRPr="00727734">
              <w:rPr>
                <w:sz w:val="22"/>
                <w:szCs w:val="22"/>
                <w:lang w:val="en-US"/>
              </w:rPr>
              <w:t>Intel</w:t>
            </w:r>
            <w:r w:rsidRPr="00727734">
              <w:rPr>
                <w:sz w:val="22"/>
                <w:szCs w:val="22"/>
              </w:rPr>
              <w:t xml:space="preserve"> </w:t>
            </w:r>
            <w:r w:rsidRPr="00727734">
              <w:rPr>
                <w:sz w:val="22"/>
                <w:szCs w:val="22"/>
                <w:lang w:val="en-US"/>
              </w:rPr>
              <w:t>X</w:t>
            </w:r>
            <w:r w:rsidRPr="00727734">
              <w:rPr>
                <w:sz w:val="22"/>
                <w:szCs w:val="22"/>
              </w:rPr>
              <w:t xml:space="preserve">2 </w:t>
            </w:r>
            <w:r w:rsidRPr="00727734">
              <w:rPr>
                <w:sz w:val="22"/>
                <w:szCs w:val="22"/>
                <w:lang w:val="en-US"/>
              </w:rPr>
              <w:t>G</w:t>
            </w:r>
            <w:r w:rsidRPr="00727734">
              <w:rPr>
                <w:sz w:val="22"/>
                <w:szCs w:val="22"/>
              </w:rPr>
              <w:t xml:space="preserve">3420/8 </w:t>
            </w:r>
            <w:r w:rsidRPr="00727734">
              <w:rPr>
                <w:sz w:val="22"/>
                <w:szCs w:val="22"/>
                <w:lang w:val="en-US"/>
              </w:rPr>
              <w:t>Gb</w:t>
            </w:r>
            <w:r w:rsidRPr="00727734">
              <w:rPr>
                <w:sz w:val="22"/>
                <w:szCs w:val="22"/>
              </w:rPr>
              <w:t xml:space="preserve">/500 </w:t>
            </w:r>
            <w:r w:rsidRPr="00727734">
              <w:rPr>
                <w:sz w:val="22"/>
                <w:szCs w:val="22"/>
                <w:lang w:val="en-US"/>
              </w:rPr>
              <w:t>HDD</w:t>
            </w:r>
            <w:r w:rsidRPr="00727734">
              <w:rPr>
                <w:sz w:val="22"/>
                <w:szCs w:val="22"/>
              </w:rPr>
              <w:t>/</w:t>
            </w:r>
            <w:r w:rsidRPr="00727734">
              <w:rPr>
                <w:sz w:val="22"/>
                <w:szCs w:val="22"/>
                <w:lang w:val="en-US"/>
              </w:rPr>
              <w:t>PHILIPS</w:t>
            </w:r>
            <w:r w:rsidRPr="00727734">
              <w:rPr>
                <w:sz w:val="22"/>
                <w:szCs w:val="22"/>
              </w:rPr>
              <w:t xml:space="preserve"> 200</w:t>
            </w:r>
            <w:r w:rsidRPr="00727734">
              <w:rPr>
                <w:sz w:val="22"/>
                <w:szCs w:val="22"/>
                <w:lang w:val="en-US"/>
              </w:rPr>
              <w:t>V</w:t>
            </w:r>
            <w:r w:rsidRPr="00727734">
              <w:rPr>
                <w:sz w:val="22"/>
                <w:szCs w:val="22"/>
              </w:rPr>
              <w:t xml:space="preserve">4- 23 шт., Ноутбук </w:t>
            </w:r>
            <w:r w:rsidRPr="00727734">
              <w:rPr>
                <w:sz w:val="22"/>
                <w:szCs w:val="22"/>
                <w:lang w:val="en-US"/>
              </w:rPr>
              <w:t>HP</w:t>
            </w:r>
            <w:r w:rsidRPr="00727734">
              <w:rPr>
                <w:sz w:val="22"/>
                <w:szCs w:val="22"/>
              </w:rPr>
              <w:t xml:space="preserve"> 250 </w:t>
            </w:r>
            <w:r w:rsidRPr="00727734">
              <w:rPr>
                <w:sz w:val="22"/>
                <w:szCs w:val="22"/>
                <w:lang w:val="en-US"/>
              </w:rPr>
              <w:t>G</w:t>
            </w:r>
            <w:r w:rsidRPr="00727734">
              <w:rPr>
                <w:sz w:val="22"/>
                <w:szCs w:val="22"/>
              </w:rPr>
              <w:t>6 1</w:t>
            </w:r>
            <w:r w:rsidRPr="00727734">
              <w:rPr>
                <w:sz w:val="22"/>
                <w:szCs w:val="22"/>
                <w:lang w:val="en-US"/>
              </w:rPr>
              <w:t>WY</w:t>
            </w:r>
            <w:r w:rsidRPr="00727734">
              <w:rPr>
                <w:sz w:val="22"/>
                <w:szCs w:val="22"/>
              </w:rPr>
              <w:t>58</w:t>
            </w:r>
            <w:r w:rsidRPr="00727734">
              <w:rPr>
                <w:sz w:val="22"/>
                <w:szCs w:val="22"/>
                <w:lang w:val="en-US"/>
              </w:rPr>
              <w:t>EA</w:t>
            </w:r>
            <w:r w:rsidRPr="00727734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72773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27734">
              <w:rPr>
                <w:sz w:val="22"/>
                <w:szCs w:val="22"/>
              </w:rPr>
              <w:t xml:space="preserve"> </w:t>
            </w:r>
            <w:r w:rsidRPr="00727734">
              <w:rPr>
                <w:sz w:val="22"/>
                <w:szCs w:val="22"/>
                <w:lang w:val="en-US"/>
              </w:rPr>
              <w:t>x</w:t>
            </w:r>
            <w:r w:rsidRPr="00727734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766E1106" w14:textId="77777777" w:rsidR="002C735C" w:rsidRPr="007277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77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5B23638A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Модели принятия решений в условиях неопределенности. Множества параметров и решений. Функции полезности и потерь. Примеры задач принятия решений.</w:t>
      </w:r>
    </w:p>
    <w:p w14:paraId="77AE8F01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 xml:space="preserve">Принятие решений в условиях неопределенности. Критерии Лапласа и Вальда. </w:t>
      </w:r>
    </w:p>
    <w:p w14:paraId="7EB10C73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Принятие решений в условиях неопределенности. Критерии Гурвица и Сэвиджа.</w:t>
      </w:r>
    </w:p>
    <w:p w14:paraId="693797FA" w14:textId="776B0852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Математическая модель принятия решений в условиях частичной неопределенности, компоненты модели. Возможности нахождения априорных вероятностей (Субъективная и статистическая вероятности)</w:t>
      </w:r>
    </w:p>
    <w:p w14:paraId="14CE49EF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Критерий максимума ожидаемой полезности. Дисперсия как оценка риска принятия решений.</w:t>
      </w:r>
    </w:p>
    <w:p w14:paraId="48F70FD2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Математическая модель принятия решений в условиях частичной неопределенности. Критерии наиболее вероятного состояния природы, Ходжеса-Лемана, минимума ожидаемых сожалений</w:t>
      </w:r>
    </w:p>
    <w:p w14:paraId="4926B565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Бескоалиционные игры. Основные определения, примеры.</w:t>
      </w:r>
    </w:p>
    <w:p w14:paraId="6D09AFD1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Принципы решения игр. Ситуации равновесия в бескоалиционной игре.</w:t>
      </w:r>
    </w:p>
    <w:p w14:paraId="27AAD3BF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Доход производителей на одно продуктовом рынке. Поиск ситуации равновесия и ее экономическая интерпретация.</w:t>
      </w:r>
    </w:p>
    <w:p w14:paraId="5F8A12BD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Антагонистические игры. Верхнее и нижнее значения игры</w:t>
      </w:r>
    </w:p>
    <w:p w14:paraId="4EFDBA05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Ситуации равновесия в антагонистической игре Прямоугольность множества ситуаций равновесия. Оптимальные стратегии.</w:t>
      </w:r>
    </w:p>
    <w:p w14:paraId="76D63817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Матричные игры. Примеры. Ситуации равновесия в матричной игре. Верхнее и нижнее значения игры.</w:t>
      </w:r>
    </w:p>
    <w:p w14:paraId="1332C83D" w14:textId="602B31B1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 xml:space="preserve">Смешанные стратегии в матричных играх. Смешанное расширение матричной игры. Теоремы о минимаксах. </w:t>
      </w:r>
    </w:p>
    <w:p w14:paraId="1E3885A2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Построение решения матричной игры методами линейного программирования (составление задач и методы их решения)</w:t>
      </w:r>
    </w:p>
    <w:p w14:paraId="796B578A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Геометрический метод решения матричной игры в случае двух стратегий у игроков.</w:t>
      </w:r>
    </w:p>
    <w:p w14:paraId="260A321C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Итерационные методы решения матричной игры.</w:t>
      </w:r>
    </w:p>
    <w:p w14:paraId="70312214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Кооперативные игры. Экономические интерпретации характеристической функции выигрыша. Свойства характеристической функции. Простейшая игра.</w:t>
      </w:r>
    </w:p>
    <w:p w14:paraId="27F5452A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Дележи и их свойства. Ядро кооперативной игры.</w:t>
      </w:r>
    </w:p>
    <w:p w14:paraId="076B2551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Вектор Шепли. Вероятностная интерпретация его компонент. Примеры.</w:t>
      </w:r>
    </w:p>
    <w:p w14:paraId="34834BB9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Игры голосования (простые игры). Свойства множества выигрывающих коалиций. Виды игроков. Игра взвешенного голосования.</w:t>
      </w:r>
    </w:p>
    <w:p w14:paraId="2BFCD3FF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Опыт события, операции над событиями. Алгебра событий.</w:t>
      </w:r>
    </w:p>
    <w:p w14:paraId="1D5DA4AC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Эмпирическое, аксиоматическое и классическое определения вероятностей.</w:t>
      </w:r>
    </w:p>
    <w:p w14:paraId="2C831574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Условная вероятность, теорема умножения вероятностей, независимость событий. Испытания и схема Бернулли.</w:t>
      </w:r>
    </w:p>
    <w:p w14:paraId="3BDADB1B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Случайная величина. Функция распределения. Таблица распределения, функция плотности распределения. Квантиль распределения.</w:t>
      </w:r>
    </w:p>
    <w:p w14:paraId="56147E16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Числовые характеристики случайной величины: математическое ожидание, дисперсия, моменты.</w:t>
      </w:r>
    </w:p>
    <w:p w14:paraId="6B3605AE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Примеры дискретных случайных величин: биномиальное распределение и распределение Пуассона</w:t>
      </w:r>
    </w:p>
    <w:p w14:paraId="1284CF70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Равномерное и показательное распределения.</w:t>
      </w:r>
    </w:p>
    <w:p w14:paraId="0C16AC78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Нормальное распределение и правило трех сигм.</w:t>
      </w:r>
    </w:p>
    <w:p w14:paraId="5CE33495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Случайный вектор. Функция распределения, таблица распределения, функция плотности распределения.</w:t>
      </w:r>
    </w:p>
    <w:p w14:paraId="136532CA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Числовые характеристики случайного вектора. Корреляционный момент, коэффициент корреляции.</w:t>
      </w:r>
    </w:p>
    <w:p w14:paraId="2C5A301F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Генеральная совокупность и выборка из генеральной совокупности. Ранжирование и группировка элементов выборки.</w:t>
      </w:r>
    </w:p>
    <w:p w14:paraId="1AF4ECB5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Теория ожидаемой полезности. Функция полезности и ее свойства.</w:t>
      </w:r>
    </w:p>
    <w:p w14:paraId="41298E41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Классификация рисков. Идентификация факторов риска. Карты рисков.</w:t>
      </w:r>
    </w:p>
    <w:p w14:paraId="72433DC9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Модели оценки инвестиционных рисков. Портфельный подход к системе управления рисками.</w:t>
      </w:r>
    </w:p>
    <w:p w14:paraId="18A6309F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Выигрыш и потери.</w:t>
      </w:r>
    </w:p>
    <w:p w14:paraId="3AA40D1E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Вероятностное определение риска.</w:t>
      </w:r>
    </w:p>
    <w:p w14:paraId="42980B12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Шкалы оценки риска (коэффициенты убытки к собственным ресурсам, прибыль к убыткам</w:t>
      </w:r>
    </w:p>
    <w:p w14:paraId="5DED7CD7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Управление валютными рисками</w:t>
      </w:r>
    </w:p>
    <w:p w14:paraId="7ADB32FF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 xml:space="preserve">Использование моделей </w:t>
      </w:r>
      <w:r w:rsidRPr="00727734">
        <w:rPr>
          <w:sz w:val="23"/>
          <w:szCs w:val="23"/>
          <w:lang w:val="en-US"/>
        </w:rPr>
        <w:t>WACC</w:t>
      </w:r>
      <w:r w:rsidRPr="00727734">
        <w:rPr>
          <w:sz w:val="23"/>
          <w:szCs w:val="23"/>
        </w:rPr>
        <w:t xml:space="preserve"> и </w:t>
      </w:r>
      <w:r w:rsidRPr="00727734">
        <w:rPr>
          <w:sz w:val="23"/>
          <w:szCs w:val="23"/>
          <w:lang w:val="en-US"/>
        </w:rPr>
        <w:t>CAPM</w:t>
      </w:r>
      <w:r w:rsidRPr="00727734">
        <w:rPr>
          <w:sz w:val="23"/>
          <w:szCs w:val="23"/>
        </w:rPr>
        <w:t xml:space="preserve"> для определения средневзвешенной стоимости капитала</w:t>
      </w:r>
    </w:p>
    <w:p w14:paraId="46405A3F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Машинное обучение в управление онлайн-рисками</w:t>
      </w:r>
    </w:p>
    <w:p w14:paraId="2DD2F53C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 xml:space="preserve">Портфельная теория </w:t>
      </w:r>
      <w:proofErr w:type="spellStart"/>
      <w:r w:rsidRPr="00727734">
        <w:rPr>
          <w:sz w:val="23"/>
          <w:szCs w:val="23"/>
        </w:rPr>
        <w:t>Марковица</w:t>
      </w:r>
      <w:proofErr w:type="spellEnd"/>
    </w:p>
    <w:p w14:paraId="1116CA2E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Управление рисками инновационных проектов</w:t>
      </w:r>
    </w:p>
    <w:p w14:paraId="3256EFD9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Управление рисками с помощью стратегий смешанного типа на основе реальных опционов</w:t>
      </w:r>
    </w:p>
    <w:p w14:paraId="4C3C26F5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proofErr w:type="spellStart"/>
      <w:r w:rsidRPr="00727734">
        <w:rPr>
          <w:sz w:val="23"/>
          <w:szCs w:val="23"/>
          <w:lang w:val="en-US"/>
        </w:rPr>
        <w:t>VaR</w:t>
      </w:r>
      <w:proofErr w:type="spellEnd"/>
      <w:r w:rsidRPr="00727734">
        <w:rPr>
          <w:sz w:val="23"/>
          <w:szCs w:val="23"/>
          <w:lang w:val="en-US"/>
        </w:rPr>
        <w:t xml:space="preserve"> </w:t>
      </w:r>
      <w:r w:rsidRPr="00727734">
        <w:rPr>
          <w:sz w:val="23"/>
          <w:szCs w:val="23"/>
        </w:rPr>
        <w:t>как способ оценки риска</w:t>
      </w:r>
    </w:p>
    <w:p w14:paraId="3AAF57A7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Управление рисками в условиях лизинга</w:t>
      </w:r>
    </w:p>
    <w:p w14:paraId="73C2628E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Вероятностная оценка геологических рисков и неопределенности при оценке запасов нефти и газа</w:t>
      </w:r>
    </w:p>
    <w:p w14:paraId="034BC6F8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Анализ рисков методом стресс-прогнозирования</w:t>
      </w:r>
    </w:p>
    <w:p w14:paraId="0D1CC26F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Управление рисками ликвидности</w:t>
      </w:r>
    </w:p>
    <w:p w14:paraId="235BC17E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Управление рисками при автоматизации производства</w:t>
      </w:r>
    </w:p>
    <w:p w14:paraId="121ACCD8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Системный подход к управлению кредитными рисками банка</w:t>
      </w:r>
    </w:p>
    <w:p w14:paraId="2931290A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Принятие решений в условиях риска с точки зрения теории перспектив</w:t>
      </w:r>
    </w:p>
    <w:p w14:paraId="5E00270E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Антикризисное управление рисками</w:t>
      </w:r>
    </w:p>
    <w:p w14:paraId="46E7320B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 xml:space="preserve">Стандарты риск-менеджмента (АНСИ, </w:t>
      </w:r>
      <w:r w:rsidRPr="00727734">
        <w:rPr>
          <w:sz w:val="23"/>
          <w:szCs w:val="23"/>
          <w:lang w:val="en-US"/>
        </w:rPr>
        <w:t>FERMA</w:t>
      </w:r>
      <w:r w:rsidRPr="00727734">
        <w:rPr>
          <w:sz w:val="23"/>
          <w:szCs w:val="23"/>
        </w:rPr>
        <w:t xml:space="preserve"> и др.)</w:t>
      </w:r>
    </w:p>
    <w:p w14:paraId="2E77AC02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Страхование как метод управления рисками.</w:t>
      </w:r>
    </w:p>
    <w:p w14:paraId="400EA4AA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Виды и объекты страхования</w:t>
      </w:r>
    </w:p>
    <w:p w14:paraId="0CCFE2BB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 xml:space="preserve">Условия </w:t>
      </w:r>
      <w:proofErr w:type="spellStart"/>
      <w:r w:rsidRPr="00727734">
        <w:rPr>
          <w:sz w:val="23"/>
          <w:szCs w:val="23"/>
        </w:rPr>
        <w:t>страхуемости</w:t>
      </w:r>
      <w:proofErr w:type="spellEnd"/>
      <w:r w:rsidRPr="00727734">
        <w:rPr>
          <w:sz w:val="23"/>
          <w:szCs w:val="23"/>
        </w:rPr>
        <w:t xml:space="preserve"> рисков</w:t>
      </w:r>
    </w:p>
    <w:p w14:paraId="1E39D2AA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Достоинства и недостатки страхования как метода управления рисками</w:t>
      </w:r>
    </w:p>
    <w:p w14:paraId="2B53761C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Оптимизация бюджета капиталовложений с учетом риска</w:t>
      </w:r>
    </w:p>
    <w:p w14:paraId="3BE6EC69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Методы формирования бюджета капиталовложений</w:t>
      </w:r>
    </w:p>
    <w:p w14:paraId="250842A0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Оптимизация бюджета капиталовложений с учетом риска упущенной выгоды.</w:t>
      </w:r>
    </w:p>
    <w:p w14:paraId="48F0BCBB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Риски снижения прибыли инвестиций</w:t>
      </w:r>
    </w:p>
    <w:p w14:paraId="56852C25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Определение приоритетности проектов у уровня бюджета инвестиций.</w:t>
      </w:r>
    </w:p>
    <w:p w14:paraId="4DFB7BF4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Оценка результатов проекта с учетом риска</w:t>
      </w:r>
    </w:p>
    <w:p w14:paraId="43CF2ACA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Финансирование мер по снижению рисков.</w:t>
      </w:r>
    </w:p>
    <w:p w14:paraId="7DA9577A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Методы и модели финансирования мер снижения проектных рисков.</w:t>
      </w:r>
    </w:p>
    <w:p w14:paraId="648DEA30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Достоинства и недостатки применения отдельных методов финансирования риска.</w:t>
      </w:r>
    </w:p>
    <w:p w14:paraId="335E31D8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Информационное обеспечение риск-менеджмента</w:t>
      </w:r>
    </w:p>
    <w:p w14:paraId="3FAAEF5B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Источники информации о рисках предприятия и проекта</w:t>
      </w:r>
    </w:p>
    <w:p w14:paraId="1BAD3F44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Принципы информационного обеспечения риск менеджмента.</w:t>
      </w:r>
    </w:p>
    <w:p w14:paraId="6060D8EF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Требования к информации</w:t>
      </w:r>
    </w:p>
    <w:p w14:paraId="7E6F42BB" w14:textId="77777777" w:rsidR="00727734" w:rsidRPr="00727734" w:rsidRDefault="00727734" w:rsidP="00727734">
      <w:pPr>
        <w:pStyle w:val="Default"/>
        <w:numPr>
          <w:ilvl w:val="0"/>
          <w:numId w:val="10"/>
        </w:numPr>
        <w:spacing w:after="30"/>
        <w:ind w:left="426"/>
        <w:jc w:val="both"/>
        <w:rPr>
          <w:sz w:val="23"/>
          <w:szCs w:val="23"/>
        </w:rPr>
      </w:pPr>
      <w:r w:rsidRPr="00727734">
        <w:rPr>
          <w:sz w:val="23"/>
          <w:szCs w:val="23"/>
        </w:rPr>
        <w:t>Методы обработки информации о рисках</w:t>
      </w: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45128B9D" w14:textId="77777777" w:rsidR="00727734" w:rsidRDefault="00727734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277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77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2773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27734" w14:paraId="5A1C9382" w14:textId="77777777" w:rsidTr="00801458">
        <w:tc>
          <w:tcPr>
            <w:tcW w:w="2336" w:type="dxa"/>
          </w:tcPr>
          <w:p w14:paraId="4C518DAB" w14:textId="77777777" w:rsidR="005D65A5" w:rsidRPr="007277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773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277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773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277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773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277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77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27734" w14:paraId="07658034" w14:textId="77777777" w:rsidTr="00801458">
        <w:tc>
          <w:tcPr>
            <w:tcW w:w="2336" w:type="dxa"/>
          </w:tcPr>
          <w:p w14:paraId="1553D698" w14:textId="78F29BFB" w:rsidR="005D65A5" w:rsidRPr="007277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773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27734" w:rsidRDefault="007478E0" w:rsidP="00801458">
            <w:pPr>
              <w:rPr>
                <w:rFonts w:ascii="Times New Roman" w:hAnsi="Times New Roman" w:cs="Times New Roman"/>
              </w:rPr>
            </w:pPr>
            <w:r w:rsidRPr="00727734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09793085" w14:textId="37E3864C" w:rsidR="005D65A5" w:rsidRPr="00727734" w:rsidRDefault="007478E0" w:rsidP="00801458">
            <w:pPr>
              <w:rPr>
                <w:rFonts w:ascii="Times New Roman" w:hAnsi="Times New Roman" w:cs="Times New Roman"/>
              </w:rPr>
            </w:pPr>
            <w:r w:rsidRPr="0072773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27734" w:rsidRDefault="007478E0" w:rsidP="00801458">
            <w:pPr>
              <w:rPr>
                <w:rFonts w:ascii="Times New Roman" w:hAnsi="Times New Roman" w:cs="Times New Roman"/>
              </w:rPr>
            </w:pPr>
            <w:r w:rsidRPr="0072773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27734" w14:paraId="7446BF22" w14:textId="77777777" w:rsidTr="00801458">
        <w:tc>
          <w:tcPr>
            <w:tcW w:w="2336" w:type="dxa"/>
          </w:tcPr>
          <w:p w14:paraId="6BFF9709" w14:textId="77777777" w:rsidR="005D65A5" w:rsidRPr="007277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773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5220FE" w14:textId="77777777" w:rsidR="005D65A5" w:rsidRPr="00727734" w:rsidRDefault="007478E0" w:rsidP="00801458">
            <w:pPr>
              <w:rPr>
                <w:rFonts w:ascii="Times New Roman" w:hAnsi="Times New Roman" w:cs="Times New Roman"/>
              </w:rPr>
            </w:pPr>
            <w:r w:rsidRPr="0072773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4C87954" w14:textId="77777777" w:rsidR="005D65A5" w:rsidRPr="00727734" w:rsidRDefault="007478E0" w:rsidP="00801458">
            <w:pPr>
              <w:rPr>
                <w:rFonts w:ascii="Times New Roman" w:hAnsi="Times New Roman" w:cs="Times New Roman"/>
              </w:rPr>
            </w:pPr>
            <w:r w:rsidRPr="007277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E3692E" w14:textId="77777777" w:rsidR="005D65A5" w:rsidRPr="00727734" w:rsidRDefault="007478E0" w:rsidP="00801458">
            <w:pPr>
              <w:rPr>
                <w:rFonts w:ascii="Times New Roman" w:hAnsi="Times New Roman" w:cs="Times New Roman"/>
              </w:rPr>
            </w:pPr>
            <w:r w:rsidRPr="00727734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727734" w14:paraId="16CB2603" w14:textId="77777777" w:rsidTr="00801458">
        <w:tc>
          <w:tcPr>
            <w:tcW w:w="2336" w:type="dxa"/>
          </w:tcPr>
          <w:p w14:paraId="591F68BF" w14:textId="77777777" w:rsidR="005D65A5" w:rsidRPr="007277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773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50248B8" w14:textId="77777777" w:rsidR="005D65A5" w:rsidRPr="00727734" w:rsidRDefault="007478E0" w:rsidP="00801458">
            <w:pPr>
              <w:rPr>
                <w:rFonts w:ascii="Times New Roman" w:hAnsi="Times New Roman" w:cs="Times New Roman"/>
              </w:rPr>
            </w:pPr>
            <w:r w:rsidRPr="0072773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3AC92CF" w14:textId="77777777" w:rsidR="005D65A5" w:rsidRPr="00727734" w:rsidRDefault="007478E0" w:rsidP="00801458">
            <w:pPr>
              <w:rPr>
                <w:rFonts w:ascii="Times New Roman" w:hAnsi="Times New Roman" w:cs="Times New Roman"/>
              </w:rPr>
            </w:pPr>
            <w:r w:rsidRPr="007277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88F27A" w14:textId="77777777" w:rsidR="005D65A5" w:rsidRPr="00727734" w:rsidRDefault="007478E0" w:rsidP="00801458">
            <w:pPr>
              <w:rPr>
                <w:rFonts w:ascii="Times New Roman" w:hAnsi="Times New Roman" w:cs="Times New Roman"/>
              </w:rPr>
            </w:pPr>
            <w:r w:rsidRPr="0072773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72773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2773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72773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727734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7734" w:rsidRPr="00727734" w14:paraId="4AE3B59D" w14:textId="77777777" w:rsidTr="00707D8D">
        <w:tc>
          <w:tcPr>
            <w:tcW w:w="562" w:type="dxa"/>
          </w:tcPr>
          <w:p w14:paraId="1469DFF0" w14:textId="77777777" w:rsidR="00727734" w:rsidRPr="00727734" w:rsidRDefault="00727734" w:rsidP="00707D8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CC0C8CA" w14:textId="77777777" w:rsidR="00727734" w:rsidRPr="00727734" w:rsidRDefault="00727734" w:rsidP="00707D8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77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72773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2773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72773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2773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27734" w14:paraId="0267C479" w14:textId="77777777" w:rsidTr="00801458">
        <w:tc>
          <w:tcPr>
            <w:tcW w:w="2500" w:type="pct"/>
          </w:tcPr>
          <w:p w14:paraId="37F699C9" w14:textId="77777777" w:rsidR="00B8237E" w:rsidRPr="0072773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773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2773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77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27734" w14:paraId="3F240151" w14:textId="77777777" w:rsidTr="00801458">
        <w:tc>
          <w:tcPr>
            <w:tcW w:w="2500" w:type="pct"/>
          </w:tcPr>
          <w:p w14:paraId="61E91592" w14:textId="61A0874C" w:rsidR="00B8237E" w:rsidRPr="0072773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2773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727734" w:rsidRDefault="005C548A" w:rsidP="00801458">
            <w:pPr>
              <w:rPr>
                <w:rFonts w:ascii="Times New Roman" w:hAnsi="Times New Roman" w:cs="Times New Roman"/>
              </w:rPr>
            </w:pPr>
            <w:r w:rsidRPr="0072773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727734" w14:paraId="4D47965B" w14:textId="77777777" w:rsidTr="00801458">
        <w:tc>
          <w:tcPr>
            <w:tcW w:w="2500" w:type="pct"/>
          </w:tcPr>
          <w:p w14:paraId="0A7E05F4" w14:textId="77777777" w:rsidR="00B8237E" w:rsidRPr="00727734" w:rsidRDefault="00B8237E" w:rsidP="00801458">
            <w:pPr>
              <w:rPr>
                <w:rFonts w:ascii="Times New Roman" w:hAnsi="Times New Roman" w:cs="Times New Roman"/>
              </w:rPr>
            </w:pPr>
            <w:r w:rsidRPr="0072773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FB71259" w14:textId="77777777" w:rsidR="00B8237E" w:rsidRPr="00727734" w:rsidRDefault="005C548A" w:rsidP="00801458">
            <w:pPr>
              <w:rPr>
                <w:rFonts w:ascii="Times New Roman" w:hAnsi="Times New Roman" w:cs="Times New Roman"/>
              </w:rPr>
            </w:pPr>
            <w:r w:rsidRPr="0072773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727734" w14:paraId="3BCC7D8A" w14:textId="77777777" w:rsidTr="00801458">
        <w:tc>
          <w:tcPr>
            <w:tcW w:w="2500" w:type="pct"/>
          </w:tcPr>
          <w:p w14:paraId="4E5FF979" w14:textId="77777777" w:rsidR="00B8237E" w:rsidRPr="0072773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2773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2F27DAF" w14:textId="77777777" w:rsidR="00B8237E" w:rsidRPr="00727734" w:rsidRDefault="005C548A" w:rsidP="00801458">
            <w:pPr>
              <w:rPr>
                <w:rFonts w:ascii="Times New Roman" w:hAnsi="Times New Roman" w:cs="Times New Roman"/>
              </w:rPr>
            </w:pPr>
            <w:r w:rsidRPr="0072773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72773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C440388" w14:textId="77777777" w:rsidR="00727734" w:rsidRDefault="00727734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0D90B7D" w14:textId="77777777" w:rsidR="00727734" w:rsidRDefault="00727734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3B75B98" w14:textId="77777777" w:rsidR="00727734" w:rsidRPr="00142518" w:rsidRDefault="00727734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8D7441" w14:textId="77777777" w:rsidR="00082658" w:rsidRDefault="00082658" w:rsidP="00315CA6">
      <w:pPr>
        <w:spacing w:after="0" w:line="240" w:lineRule="auto"/>
      </w:pPr>
      <w:r>
        <w:separator/>
      </w:r>
    </w:p>
  </w:endnote>
  <w:endnote w:type="continuationSeparator" w:id="0">
    <w:p w14:paraId="7667A9A6" w14:textId="77777777" w:rsidR="00082658" w:rsidRDefault="0008265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67E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39AE1C" w14:textId="77777777" w:rsidR="00082658" w:rsidRDefault="00082658" w:rsidP="00315CA6">
      <w:pPr>
        <w:spacing w:after="0" w:line="240" w:lineRule="auto"/>
      </w:pPr>
      <w:r>
        <w:separator/>
      </w:r>
    </w:p>
  </w:footnote>
  <w:footnote w:type="continuationSeparator" w:id="0">
    <w:p w14:paraId="38B5AD94" w14:textId="77777777" w:rsidR="00082658" w:rsidRDefault="0008265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ECC12BE"/>
    <w:multiLevelType w:val="hybridMultilevel"/>
    <w:tmpl w:val="25B4D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1D5213"/>
    <w:multiLevelType w:val="hybridMultilevel"/>
    <w:tmpl w:val="4B94F44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8"/>
  </w:num>
  <w:num w:numId="8">
    <w:abstractNumId w:val="4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67EB"/>
    <w:rsid w:val="00082658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01DF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65B2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773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upravlenie-riskami-56065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905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921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92118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sistemnyy-analiz-i-programmno-celevoy-menedzhment-riskov-56368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E51442-7AA2-4E0E-86CF-F59E59370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4036</Words>
  <Characters>23006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